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5E5134FA"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w:t>
            </w:r>
            <w:r w:rsidR="00912DF4">
              <w:rPr>
                <w:rFonts w:ascii="Arial" w:hAnsi="Arial" w:cs="Arial"/>
                <w:b/>
                <w:sz w:val="20"/>
                <w:szCs w:val="20"/>
              </w:rPr>
              <w:t xml:space="preserve"> SV</w:t>
            </w:r>
            <w:r w:rsidR="00AD3A35">
              <w:rPr>
                <w:rFonts w:ascii="Arial" w:hAnsi="Arial" w:cs="Arial"/>
                <w:b/>
                <w:sz w:val="20"/>
                <w:szCs w:val="20"/>
              </w:rPr>
              <w:t>F</w:t>
            </w:r>
            <w:r w:rsidR="00912DF4">
              <w:rPr>
                <w:rFonts w:ascii="Arial" w:hAnsi="Arial" w:cs="Arial"/>
                <w:b/>
                <w:sz w:val="20"/>
                <w:szCs w:val="20"/>
              </w:rPr>
              <w:t>30</w:t>
            </w:r>
            <w:r w:rsidR="007F7E9C">
              <w:rPr>
                <w:rFonts w:ascii="Arial" w:hAnsi="Arial" w:cs="Arial"/>
                <w:b/>
                <w:sz w:val="20"/>
                <w:szCs w:val="20"/>
              </w:rPr>
              <w:t xml:space="preserve"> JUMP</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671EC145"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912DF4">
              <w:rPr>
                <w:rFonts w:ascii="Arial" w:hAnsi="Arial" w:cs="Arial"/>
                <w:b/>
                <w:sz w:val="20"/>
                <w:szCs w:val="20"/>
              </w:rPr>
              <w:t>SV</w:t>
            </w:r>
            <w:r w:rsidR="00505AE8">
              <w:rPr>
                <w:rFonts w:ascii="Arial" w:hAnsi="Arial" w:cs="Arial"/>
                <w:b/>
                <w:sz w:val="20"/>
                <w:szCs w:val="20"/>
              </w:rPr>
              <w:t>F</w:t>
            </w:r>
            <w:r w:rsidR="00912DF4">
              <w:rPr>
                <w:rFonts w:ascii="Arial" w:hAnsi="Arial" w:cs="Arial"/>
                <w:b/>
                <w:sz w:val="20"/>
                <w:szCs w:val="20"/>
              </w:rPr>
              <w:t>30</w:t>
            </w:r>
            <w:r w:rsidR="00D86C03">
              <w:rPr>
                <w:rFonts w:ascii="Arial" w:hAnsi="Arial" w:cs="Arial"/>
                <w:b/>
                <w:sz w:val="20"/>
                <w:szCs w:val="20"/>
              </w:rPr>
              <w:t xml:space="preserve"> JUMP</w:t>
            </w:r>
            <w:r w:rsidR="00912DF4">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39675649" w:rsidR="00FD0BF0" w:rsidRPr="00F241A0" w:rsidRDefault="00A21E0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Spanplatten E05 gemäß DIN EN 717-1 </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3190EBAD" w:rsidR="000E49B2" w:rsidRPr="00F241A0" w:rsidRDefault="00A21E08" w:rsidP="00A21E08">
            <w:pPr>
              <w:spacing w:beforeLines="60" w:before="144" w:afterLines="60" w:after="144"/>
              <w:rPr>
                <w:rFonts w:ascii="Arial" w:hAnsi="Arial" w:cs="Arial"/>
                <w:sz w:val="20"/>
                <w:szCs w:val="20"/>
              </w:rPr>
            </w:pPr>
            <w:r w:rsidRPr="00A21E08">
              <w:rPr>
                <w:rFonts w:ascii="Arial" w:hAnsi="Arial" w:cs="Arial"/>
                <w:sz w:val="20"/>
                <w:szCs w:val="20"/>
              </w:rPr>
              <w:t>Melaminharz-direktbeschichtete Spanplatten mit ABS-Kanten in Verbindung mit eloxierten oder farbig beschichteten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6B330E66" w14:textId="77777777" w:rsidR="00D86C03" w:rsidRDefault="00505AE8" w:rsidP="00ED29E1">
            <w:pPr>
              <w:spacing w:beforeLines="60" w:before="144" w:afterLines="60" w:after="144"/>
              <w:rPr>
                <w:rFonts w:ascii="Arial" w:hAnsi="Arial" w:cs="Arial"/>
                <w:sz w:val="20"/>
                <w:szCs w:val="20"/>
              </w:rPr>
            </w:pPr>
            <w:r w:rsidRPr="00505AE8">
              <w:rPr>
                <w:rFonts w:ascii="Arial" w:hAnsi="Arial" w:cs="Arial"/>
                <w:sz w:val="20"/>
                <w:szCs w:val="20"/>
              </w:rPr>
              <w:t>Auf der Kabinenaußenseite absolut flächenbündige Konstruktion.</w:t>
            </w:r>
            <w:r w:rsidR="00A21E08">
              <w:rPr>
                <w:rFonts w:ascii="Arial" w:hAnsi="Arial" w:cs="Arial"/>
                <w:sz w:val="20"/>
                <w:szCs w:val="20"/>
              </w:rPr>
              <w:t xml:space="preserve">30 mm starke, </w:t>
            </w:r>
            <w:r w:rsidR="00A21E08" w:rsidRPr="00A21E08">
              <w:rPr>
                <w:rFonts w:ascii="Arial" w:hAnsi="Arial" w:cs="Arial"/>
                <w:sz w:val="20"/>
                <w:szCs w:val="20"/>
              </w:rPr>
              <w:t xml:space="preserve">Melaminharz-direktbeschichtete </w:t>
            </w:r>
            <w:r w:rsidR="00A21E08">
              <w:rPr>
                <w:rFonts w:ascii="Arial" w:hAnsi="Arial" w:cs="Arial"/>
                <w:sz w:val="20"/>
                <w:szCs w:val="20"/>
              </w:rPr>
              <w:t>Volls</w:t>
            </w:r>
            <w:r w:rsidR="00A21E08" w:rsidRPr="00A21E08">
              <w:rPr>
                <w:rFonts w:ascii="Arial" w:hAnsi="Arial" w:cs="Arial"/>
                <w:sz w:val="20"/>
                <w:szCs w:val="20"/>
              </w:rPr>
              <w:t>panplatten, 30 mm stark, Verleimung V 2</w:t>
            </w:r>
            <w:r w:rsidR="00A21E08">
              <w:rPr>
                <w:rFonts w:ascii="Arial" w:hAnsi="Arial" w:cs="Arial"/>
                <w:sz w:val="20"/>
                <w:szCs w:val="20"/>
              </w:rPr>
              <w:t xml:space="preserve">0. </w:t>
            </w:r>
            <w:r w:rsidR="00A21E08" w:rsidRPr="00A21E08">
              <w:rPr>
                <w:rFonts w:ascii="Arial" w:hAnsi="Arial" w:cs="Arial"/>
                <w:sz w:val="20"/>
                <w:szCs w:val="20"/>
              </w:rPr>
              <w:t xml:space="preserve">Sämtliche sichtbaren Kanten mit farbigen ABS-Umleimern beschichtet, Kanten </w:t>
            </w:r>
            <w:r w:rsidR="00A21E08">
              <w:rPr>
                <w:rFonts w:ascii="Arial" w:hAnsi="Arial" w:cs="Arial"/>
                <w:sz w:val="20"/>
                <w:szCs w:val="20"/>
              </w:rPr>
              <w:t xml:space="preserve">körperfreundlich </w:t>
            </w:r>
            <w:r w:rsidR="00A21E08" w:rsidRPr="00A21E08">
              <w:rPr>
                <w:rFonts w:ascii="Arial" w:hAnsi="Arial" w:cs="Arial"/>
                <w:sz w:val="20"/>
                <w:szCs w:val="20"/>
              </w:rPr>
              <w:t>gerundet. Melaminkanten sind nicht zugelassen</w:t>
            </w:r>
            <w:r w:rsidR="00A21E08">
              <w:rPr>
                <w:rFonts w:ascii="Arial" w:hAnsi="Arial" w:cs="Arial"/>
                <w:sz w:val="20"/>
                <w:szCs w:val="20"/>
              </w:rPr>
              <w:t xml:space="preserve">. </w:t>
            </w:r>
            <w:r w:rsidR="00A21E08" w:rsidRPr="00A21E08">
              <w:rPr>
                <w:rFonts w:ascii="Arial" w:hAnsi="Arial" w:cs="Arial"/>
                <w:sz w:val="20"/>
                <w:szCs w:val="20"/>
              </w:rPr>
              <w:t xml:space="preserve">Wand- und </w:t>
            </w:r>
            <w:r w:rsidR="00A21E08">
              <w:rPr>
                <w:rFonts w:ascii="Arial" w:hAnsi="Arial" w:cs="Arial"/>
                <w:sz w:val="20"/>
                <w:szCs w:val="20"/>
              </w:rPr>
              <w:t>T</w:t>
            </w:r>
            <w:r w:rsidR="00A21E08" w:rsidRPr="00A21E08">
              <w:rPr>
                <w:rFonts w:ascii="Arial" w:hAnsi="Arial" w:cs="Arial"/>
                <w:sz w:val="20"/>
                <w:szCs w:val="20"/>
              </w:rPr>
              <w:t xml:space="preserve">rennwandanschlüsse durch Aluminium-U-Profile über die gesamte Elementhöhe. </w:t>
            </w:r>
          </w:p>
          <w:p w14:paraId="7B187847" w14:textId="28EB6FF7" w:rsidR="00A21E08" w:rsidRPr="00ED29E1" w:rsidRDefault="00D86C03" w:rsidP="00ED29E1">
            <w:pPr>
              <w:spacing w:beforeLines="60" w:before="144" w:afterLines="60" w:after="144"/>
              <w:rPr>
                <w:rFonts w:ascii="Arial" w:hAnsi="Arial" w:cs="Arial"/>
                <w:sz w:val="20"/>
                <w:szCs w:val="20"/>
              </w:rPr>
            </w:pPr>
            <w:r w:rsidRPr="00620792">
              <w:rPr>
                <w:rFonts w:ascii="Arial" w:hAnsi="Arial" w:cs="Arial"/>
                <w:sz w:val="20"/>
                <w:szCs w:val="20"/>
              </w:rPr>
              <w:t xml:space="preserve">150 mm nach hinten versetzt läuft über der Vorderfront ein quadratisches Kopfprofil (30 x 30 mm). Das Kopfprofil wird mittels </w:t>
            </w:r>
            <w:r>
              <w:rPr>
                <w:rFonts w:ascii="Arial" w:hAnsi="Arial" w:cs="Arial"/>
                <w:sz w:val="20"/>
                <w:szCs w:val="20"/>
              </w:rPr>
              <w:t>stabiler</w:t>
            </w:r>
            <w:r w:rsidRPr="00620792">
              <w:rPr>
                <w:rFonts w:ascii="Arial" w:hAnsi="Arial" w:cs="Arial"/>
                <w:sz w:val="20"/>
                <w:szCs w:val="20"/>
              </w:rPr>
              <w:t xml:space="preserve"> Aluminiumhalter mit den Trennwänden verbunden. Die Stabilisierung der Frontelemente erfolgt über stabile, verschraubte Aluminiumwinkel. Die Wandanschlüsse erfolgen mittels Aluminium-U-Profil als Schattenfuge.</w:t>
            </w:r>
            <w:r w:rsidR="00A21E08">
              <w:rPr>
                <w:rFonts w:ascii="Arial" w:hAnsi="Arial" w:cs="Arial"/>
                <w:sz w:val="20"/>
                <w:szCs w:val="20"/>
              </w:rPr>
              <w:t xml:space="preserve">. </w:t>
            </w:r>
          </w:p>
          <w:p w14:paraId="1EE015F3" w14:textId="7562DB83" w:rsidR="00A24CF3" w:rsidRPr="00D86C03"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w:t>
            </w:r>
            <w:r w:rsidR="00ED29E1">
              <w:rPr>
                <w:rFonts w:ascii="Arial" w:hAnsi="Arial" w:cs="Arial"/>
                <w:color w:val="4472C4" w:themeColor="accent1"/>
                <w:sz w:val="20"/>
                <w:szCs w:val="20"/>
              </w:rPr>
              <w:t xml:space="preserve">Verwendung von Vollspanplatten der </w:t>
            </w:r>
            <w:r w:rsidRPr="00F241A0">
              <w:rPr>
                <w:rFonts w:ascii="Arial" w:hAnsi="Arial" w:cs="Arial"/>
                <w:color w:val="4472C4" w:themeColor="accent1"/>
                <w:sz w:val="20"/>
                <w:szCs w:val="20"/>
              </w:rPr>
              <w:t xml:space="preserve">Brandschutzklasse </w:t>
            </w:r>
            <w:r w:rsidR="00ED29E1">
              <w:rPr>
                <w:rFonts w:ascii="Arial" w:hAnsi="Arial" w:cs="Arial"/>
                <w:color w:val="4472C4" w:themeColor="accent1"/>
                <w:sz w:val="20"/>
                <w:szCs w:val="20"/>
              </w:rPr>
              <w:t>B</w:t>
            </w:r>
            <w:r w:rsidRPr="00F241A0">
              <w:rPr>
                <w:rFonts w:ascii="Arial" w:hAnsi="Arial" w:cs="Arial"/>
                <w:color w:val="4472C4" w:themeColor="accent1"/>
                <w:sz w:val="20"/>
                <w:szCs w:val="20"/>
              </w:rPr>
              <w:t>-s2,d0</w:t>
            </w:r>
            <w:r w:rsidR="00ED29E1">
              <w:rPr>
                <w:rFonts w:ascii="Arial" w:hAnsi="Arial" w:cs="Arial"/>
                <w:color w:val="4472C4" w:themeColor="accent1"/>
                <w:sz w:val="20"/>
                <w:szCs w:val="20"/>
              </w:rPr>
              <w:t xml:space="preserve"> </w:t>
            </w:r>
            <w:r w:rsidR="00ED29E1" w:rsidRPr="00F241A0">
              <w:rPr>
                <w:rFonts w:ascii="Arial" w:hAnsi="Arial" w:cs="Arial"/>
                <w:color w:val="4472C4" w:themeColor="accent1"/>
                <w:sz w:val="20"/>
                <w:szCs w:val="20"/>
              </w:rPr>
              <w:t xml:space="preserve">gemäß Euroklasse </w:t>
            </w:r>
            <w:r w:rsidR="00ED29E1" w:rsidRPr="00F241A0">
              <w:rPr>
                <w:rFonts w:ascii="Arial" w:hAnsi="Arial" w:cs="Arial"/>
                <w:color w:val="4472C4" w:themeColor="accent1"/>
                <w:sz w:val="20"/>
                <w:szCs w:val="20"/>
              </w:rPr>
              <w:br/>
              <w:t>EN 13501-1</w:t>
            </w:r>
            <w:r w:rsidRPr="00F241A0">
              <w:rPr>
                <w:rFonts w:ascii="Arial" w:hAnsi="Arial" w:cs="Arial"/>
                <w:color w:val="4472C4" w:themeColor="accent1"/>
                <w:sz w:val="20"/>
                <w:szCs w:val="20"/>
              </w:rPr>
              <w:t xml:space="preserve">. Die entsprechenden Klassifizierungszertifikate sind vorzulegen. </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6C8C21BB" w:rsidR="00ED29E1" w:rsidRPr="00ED29E1" w:rsidRDefault="00A24CF3" w:rsidP="001C430C">
            <w:pPr>
              <w:spacing w:beforeLines="60" w:before="144" w:afterLines="60" w:after="144"/>
              <w:rPr>
                <w:rFonts w:ascii="Arial" w:hAnsi="Arial" w:cs="Arial"/>
                <w:sz w:val="20"/>
                <w:szCs w:val="20"/>
              </w:rPr>
            </w:pPr>
            <w:r w:rsidRPr="00ED29E1">
              <w:rPr>
                <w:rFonts w:ascii="Arial" w:hAnsi="Arial" w:cs="Arial"/>
                <w:sz w:val="20"/>
                <w:szCs w:val="20"/>
              </w:rPr>
              <w:t xml:space="preserve">Die Konstruktion der Türen entspricht der der Vorderfront. </w:t>
            </w:r>
            <w:r w:rsidR="00ED29E1">
              <w:rPr>
                <w:rFonts w:ascii="Arial" w:hAnsi="Arial" w:cs="Arial"/>
                <w:sz w:val="20"/>
                <w:szCs w:val="20"/>
              </w:rPr>
              <w:t>T</w:t>
            </w:r>
            <w:r w:rsidR="001C430C" w:rsidRPr="00505AE8">
              <w:rPr>
                <w:rFonts w:ascii="Arial" w:hAnsi="Arial" w:cs="Arial"/>
                <w:sz w:val="20"/>
                <w:szCs w:val="20"/>
              </w:rPr>
              <w:t>üren stumpfeinschlagend, mit eingefräster Aluminium-Anschlagleiste. Kabinenaußenseite dadurch absolut flächenbündig, unabhängig von der Öffnungsrichtung der Türen. Anschlagleiste mit eingelassener Profilgummidichtung zur dauerhaften Geräuschdäm</w:t>
            </w:r>
            <w:r w:rsidR="001C430C">
              <w:rPr>
                <w:rFonts w:ascii="Arial" w:hAnsi="Arial" w:cs="Arial"/>
                <w:sz w:val="20"/>
                <w:szCs w:val="20"/>
              </w:rPr>
              <w:t>pf</w:t>
            </w:r>
            <w:r w:rsidR="001C430C" w:rsidRPr="00505AE8">
              <w:rPr>
                <w:rFonts w:ascii="Arial" w:hAnsi="Arial" w:cs="Arial"/>
                <w:sz w:val="20"/>
                <w:szCs w:val="20"/>
              </w:rPr>
              <w:t>ung. Dämpfungen aus Vorlegeband sind nicht zugelassen. Bandseitig eingenuteter, Kunststoffkeder zur Abdeckung des Türspaltes. Nicht eingefräste Sichtschutzlösungen sind nicht zugelassen</w:t>
            </w:r>
            <w:r w:rsidR="001C430C">
              <w:rPr>
                <w:rFonts w:ascii="Arial" w:hAnsi="Arial" w:cs="Arial"/>
                <w:sz w:val="20"/>
                <w:szCs w:val="20"/>
              </w:rPr>
              <w:t>.</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68D59751" w14:textId="20745C73" w:rsidR="00ED29E1" w:rsidRP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 xml:space="preserve">Zwei </w:t>
            </w:r>
            <w:r w:rsidR="001C430C" w:rsidRPr="001C430C">
              <w:rPr>
                <w:rFonts w:ascii="Arial" w:hAnsi="Arial" w:cs="Arial"/>
                <w:sz w:val="20"/>
                <w:szCs w:val="20"/>
              </w:rPr>
              <w:t xml:space="preserve">wartungsfreie </w:t>
            </w:r>
            <w:r w:rsidR="001C430C">
              <w:rPr>
                <w:rFonts w:ascii="Arial" w:hAnsi="Arial" w:cs="Arial"/>
                <w:sz w:val="20"/>
                <w:szCs w:val="20"/>
              </w:rPr>
              <w:t>Dreirollen-</w:t>
            </w:r>
            <w:r w:rsidR="001C430C" w:rsidRPr="001C430C">
              <w:rPr>
                <w:rFonts w:ascii="Arial" w:hAnsi="Arial" w:cs="Arial"/>
                <w:sz w:val="20"/>
                <w:szCs w:val="20"/>
              </w:rPr>
              <w:t xml:space="preserve">Edelstahlbänder mit Laufflächen aus Hochleistungspolymer. Bandlappen flächenbündig im ABS Anleimer eingefräst und eingelassen. Aufgesetzte Bänder sind nicht zugelassen. </w:t>
            </w:r>
            <w:r>
              <w:rPr>
                <w:rFonts w:ascii="Arial" w:hAnsi="Arial" w:cs="Arial"/>
                <w:sz w:val="20"/>
                <w:szCs w:val="20"/>
              </w:rPr>
              <w:t xml:space="preserve">Scharniere, bei denen Edelstahl auf Edelstahl dreht, sind nicht zugelassen. Die Scharniere müssen einen Dauertest von 300.000 Zyklen ohne Abnutzung absolviert haben. </w:t>
            </w:r>
          </w:p>
          <w:p w14:paraId="631DCF5C" w14:textId="7AE31DCD" w:rsidR="00ED29E1" w:rsidRDefault="00ED29E1" w:rsidP="00ED29E1">
            <w:pPr>
              <w:spacing w:beforeLines="60" w:before="144" w:afterLines="60" w:after="144"/>
              <w:rPr>
                <w:rFonts w:ascii="Arial" w:hAnsi="Arial" w:cs="Arial"/>
                <w:sz w:val="20"/>
                <w:szCs w:val="20"/>
              </w:rPr>
            </w:pPr>
            <w:r w:rsidRPr="00ED29E1">
              <w:rPr>
                <w:rFonts w:ascii="Arial" w:hAnsi="Arial" w:cs="Arial"/>
                <w:sz w:val="20"/>
                <w:szCs w:val="20"/>
              </w:rPr>
              <w:t>Vollverzinktes Schloss mit Falle und Riegel. Sicherheitsdrücker in U-Form aus bruchfestem Polyamid mit Stahlkern, Stärke 23 mm. Rosetten, Riegelolive, Frei-/Besetzt-Anzeige und Notentriegelung außen</w:t>
            </w:r>
            <w:r>
              <w:rPr>
                <w:rFonts w:ascii="Arial" w:hAnsi="Arial" w:cs="Arial"/>
                <w:sz w:val="20"/>
                <w:szCs w:val="20"/>
              </w:rPr>
              <w:t>.</w:t>
            </w:r>
          </w:p>
          <w:p w14:paraId="1C761F31" w14:textId="2B0B739B" w:rsidR="00ED29E1" w:rsidRDefault="000F719B" w:rsidP="00ED29E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00ED29E1" w:rsidRPr="00343003">
              <w:rPr>
                <w:rFonts w:ascii="Arial" w:hAnsi="Arial" w:cs="Arial"/>
                <w:color w:val="4472C4" w:themeColor="accent1"/>
                <w:sz w:val="20"/>
                <w:szCs w:val="20"/>
              </w:rPr>
              <w:t>Zwei wartungsfreie Edelstahlbänder mit Laufflächen aus Hochleistungspolymer mit selbstschließender Funktion als Steigescharnier. Dies gewährleistet eine dauerhaft gleichbleibende Schließgeschwindigkeit. Selbstschließende Scharniere als Federscharnier sind nicht zugelassen.  Die Scharniere müssen einen Dauertest von 300.000 Zyklen ohne Abnutzung absolviert haben.</w:t>
            </w:r>
            <w:r w:rsidR="00ED29E1">
              <w:rPr>
                <w:rFonts w:ascii="Arial" w:hAnsi="Arial" w:cs="Arial"/>
                <w:sz w:val="20"/>
                <w:szCs w:val="20"/>
              </w:rPr>
              <w:t xml:space="preserve"> </w:t>
            </w:r>
          </w:p>
          <w:p w14:paraId="24BD3F42" w14:textId="77777777" w:rsidR="001C430C" w:rsidRDefault="001C430C" w:rsidP="001C430C">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w:t>
            </w:r>
            <w:r w:rsidRPr="00F241A0">
              <w:rPr>
                <w:rFonts w:ascii="Arial" w:hAnsi="Arial" w:cs="Arial"/>
                <w:b/>
                <w:color w:val="4472C4" w:themeColor="accent1"/>
                <w:sz w:val="20"/>
                <w:szCs w:val="20"/>
              </w:rPr>
              <w:t>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Simonswerk Tectus ohne selbstschließende Funktion. </w:t>
            </w:r>
          </w:p>
          <w:p w14:paraId="0B3088B1" w14:textId="77777777" w:rsidR="001C430C" w:rsidRDefault="001C430C" w:rsidP="001C430C">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In der Front nicht sichtbare in den Falz eingelassene Scharniere, z. B. Simonswerk Tectus. Selbstschließende Funktion der Türen durch in der Front nicht sichtbaren im Falz liegenden Türschließer.</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6421819C" w14:textId="77777777"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Frei-/Besetzt-Anzeige und Notentriegelung außen Haken und Puffer ebenfalls aus Edelstahl.</w:t>
            </w:r>
          </w:p>
          <w:p w14:paraId="6FFBA954" w14:textId="77777777" w:rsidR="00B60EAF" w:rsidRDefault="00B60EAF" w:rsidP="00B60EAF">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color w:val="4472C4" w:themeColor="accent1"/>
                <w:sz w:val="20"/>
                <w:szCs w:val="20"/>
              </w:rPr>
              <w:t xml:space="preserve"> </w:t>
            </w:r>
            <w:r>
              <w:rPr>
                <w:rFonts w:ascii="Arial" w:hAnsi="Arial" w:cs="Arial"/>
                <w:color w:val="4472C4" w:themeColor="accent1"/>
                <w:sz w:val="20"/>
                <w:szCs w:val="20"/>
              </w:rPr>
              <w:br/>
              <w:t>Griffstange auf der Türaußenseite aus eloxiertem Aluminium, 55 x 20 mm. Länge wahlweise</w:t>
            </w:r>
            <w:r>
              <w:rPr>
                <w:rFonts w:ascii="Arial" w:hAnsi="Arial" w:cs="Arial"/>
                <w:b/>
                <w:color w:val="4472C4" w:themeColor="accent1"/>
                <w:sz w:val="20"/>
                <w:szCs w:val="20"/>
              </w:rPr>
              <w:t xml:space="preserve"> </w:t>
            </w:r>
            <w:r>
              <w:rPr>
                <w:rFonts w:ascii="Arial" w:hAnsi="Arial" w:cs="Arial"/>
                <w:color w:val="4472C4" w:themeColor="accent1"/>
                <w:sz w:val="20"/>
                <w:szCs w:val="20"/>
              </w:rPr>
              <w:t xml:space="preserve">500 mm, 1.150 mm oder angepasst bis zur Oberkante des Türblattes. Integrierte Frei-Besetzt-Anzeige (rot-weiß) und Notentriegelung mittels Innensechskant. Innen Schäfer Einhandbeschlag INSAFE aus eloxiertem Aluminium mit besonders greiffreundlichem Drehknopf mit zwei deutlich sichtbaren, </w:t>
            </w:r>
          </w:p>
          <w:p w14:paraId="6AD76BD5" w14:textId="249BF5BA" w:rsidR="00B60EAF" w:rsidRDefault="00B60EAF" w:rsidP="00B60EAF">
            <w:pPr>
              <w:spacing w:beforeLines="60" w:before="144" w:afterLines="60" w:after="144"/>
              <w:rPr>
                <w:rFonts w:ascii="Arial" w:hAnsi="Arial" w:cs="Arial"/>
                <w:color w:val="4472C4" w:themeColor="accent1"/>
                <w:sz w:val="20"/>
                <w:szCs w:val="20"/>
              </w:rPr>
            </w:pPr>
            <w:r>
              <w:rPr>
                <w:rFonts w:ascii="Arial" w:hAnsi="Arial" w:cs="Arial"/>
                <w:color w:val="4472C4" w:themeColor="accent1"/>
                <w:sz w:val="20"/>
                <w:szCs w:val="20"/>
              </w:rPr>
              <w:lastRenderedPageBreak/>
              <w:t xml:space="preserve">mindestens 25 mm breiten Sichtfenstern der Frei-/Besetzt-Anzeige. Der Verriegelungszustand muss auch innerhalb der Kabine angezeigt werden. Beschlagslösungen, die den Verriegelungszustand in der Kabine nicht anzeigen sind nicht zugelassen. Riegelschloss mit Zinkdruckgussriegel und Edelstahlstulp. </w:t>
            </w:r>
          </w:p>
          <w:p w14:paraId="1D909D75" w14:textId="66C4C0F0" w:rsidR="00B60EAF" w:rsidRPr="00F241A0" w:rsidRDefault="00B60EAF" w:rsidP="009E63C1">
            <w:pPr>
              <w:spacing w:beforeLines="60" w:before="144" w:afterLines="60" w:after="144"/>
              <w:rPr>
                <w:rFonts w:ascii="Arial" w:hAnsi="Arial" w:cs="Arial"/>
                <w:color w:val="4472C4" w:themeColor="accent1"/>
                <w:sz w:val="20"/>
                <w:szCs w:val="20"/>
              </w:rPr>
            </w:pPr>
            <w:r>
              <w:rPr>
                <w:rFonts w:ascii="Arial" w:hAnsi="Arial" w:cs="Arial"/>
                <w:b/>
                <w:color w:val="4472C4" w:themeColor="accent1"/>
                <w:sz w:val="20"/>
                <w:szCs w:val="20"/>
              </w:rPr>
              <w:t>Als Alternative:</w:t>
            </w:r>
            <w:r>
              <w:rPr>
                <w:rFonts w:ascii="Arial" w:hAnsi="Arial" w:cs="Arial"/>
                <w:b/>
                <w:color w:val="4472C4" w:themeColor="accent1"/>
                <w:sz w:val="20"/>
                <w:szCs w:val="20"/>
              </w:rPr>
              <w:br/>
            </w:r>
            <w:r>
              <w:rPr>
                <w:rFonts w:ascii="Arial" w:hAnsi="Arial" w:cs="Arial"/>
                <w:color w:val="4472C4" w:themeColor="accent1"/>
                <w:sz w:val="20"/>
                <w:szCs w:val="20"/>
              </w:rPr>
              <w:t>Zusätzlich zum oben spezifizierten Beschlag Frei-Besetzt Anzeige mittels LED-Band, 500 mm lang, im Seitenteil neben der Türe eingelassen mit Plexiglasabdeckung. Das LED Band zeigt den Verriegelungszustand der Kabine dauerhaft an (frei = grün, besetzt = rot). Stromzufuhr bauseits mittels 12 Volt DC Zuleitung. Kabelführung verdeckt innerhalb der Trennwandelemente.</w:t>
            </w:r>
          </w:p>
        </w:tc>
      </w:tr>
      <w:tr w:rsidR="00D86C03" w:rsidRPr="00F241A0" w14:paraId="5B20AD56" w14:textId="77777777" w:rsidTr="009E63C1">
        <w:tc>
          <w:tcPr>
            <w:tcW w:w="1329" w:type="pct"/>
          </w:tcPr>
          <w:p w14:paraId="12A2DD7C" w14:textId="77777777" w:rsidR="00D86C03" w:rsidRPr="00950A0B" w:rsidRDefault="00D86C03" w:rsidP="00D86C03">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D86C03" w:rsidRPr="00F241A0" w:rsidRDefault="00D86C03" w:rsidP="00D86C03">
            <w:pPr>
              <w:spacing w:beforeLines="60" w:before="144" w:afterLines="60" w:after="144"/>
              <w:rPr>
                <w:rFonts w:ascii="Arial" w:hAnsi="Arial" w:cs="Arial"/>
                <w:b/>
                <w:color w:val="4472C4" w:themeColor="accent1"/>
                <w:sz w:val="20"/>
                <w:szCs w:val="20"/>
              </w:rPr>
            </w:pPr>
          </w:p>
        </w:tc>
        <w:tc>
          <w:tcPr>
            <w:tcW w:w="3671" w:type="pct"/>
          </w:tcPr>
          <w:p w14:paraId="6F3CAA77" w14:textId="77777777" w:rsidR="00D86C03" w:rsidRDefault="00D86C03" w:rsidP="00D86C03">
            <w:pPr>
              <w:pStyle w:val="Textkrper22"/>
              <w:spacing w:beforeLines="60" w:before="144"/>
              <w:jc w:val="left"/>
            </w:pPr>
            <w:r>
              <w:t xml:space="preserve">Notwendige Stützfüße sind 150 mm nach hinten versetzt in den Trennwänden. </w:t>
            </w:r>
            <w:r w:rsidRPr="00620792">
              <w:t>Stufenlos höhenverstellbare Stützfüße mit angeschweißtem Teller und Abdeckrosette komplett aus Aluminium, naturfarben eloxiert (E6/EV1). Kunststofffüße oder Kunststoffabdeckrosetten sind nicht zugelassen.</w:t>
            </w:r>
            <w:r>
              <w:t xml:space="preserve"> Zur Verstärkung werden die Füße in einem stabilen Aluminiumhalter geführt. Die Stabilisierung der Frontelemente erfolgt über einen Aluminiumknoten, der kraftschlüssig mit Trennwand und Frontelement verschraubt wird. </w:t>
            </w:r>
            <w:r>
              <w:rPr>
                <w:rFonts w:cs="Arial"/>
              </w:rPr>
              <w:t>Lösungen, bei denen die Füße ohne zusätzliche Verstärkung in die Trennwand eingebohrt werden, sind nicht zugelassen.</w:t>
            </w:r>
          </w:p>
          <w:p w14:paraId="36C5BE42" w14:textId="056491BE" w:rsidR="00D86C03" w:rsidRPr="00F241A0" w:rsidRDefault="00D86C03" w:rsidP="00D86C03">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Stufenlos höhenverstellbare Stützfüße mit angeschweißtem Teller und Abdeckrosette komplett aus </w:t>
            </w:r>
            <w:r>
              <w:rPr>
                <w:rFonts w:ascii="Arial" w:hAnsi="Arial" w:cs="Arial"/>
                <w:color w:val="4472C4" w:themeColor="accent1"/>
                <w:sz w:val="20"/>
                <w:szCs w:val="20"/>
              </w:rPr>
              <w:t xml:space="preserve">Edelstahl. </w:t>
            </w:r>
            <w:r w:rsidRPr="00F241A0">
              <w:rPr>
                <w:rFonts w:ascii="Arial" w:hAnsi="Arial" w:cs="Arial"/>
                <w:color w:val="4472C4" w:themeColor="accent1"/>
                <w:sz w:val="20"/>
                <w:szCs w:val="20"/>
              </w:rPr>
              <w:t>Kunststofffüße oder Kunststoffabdeckrosetten sind nicht zugelassen.</w:t>
            </w:r>
          </w:p>
        </w:tc>
      </w:tr>
      <w:tr w:rsidR="00D86C03" w:rsidRPr="00F241A0" w14:paraId="5B34D75C" w14:textId="77777777" w:rsidTr="009E63C1">
        <w:tc>
          <w:tcPr>
            <w:tcW w:w="1329" w:type="pct"/>
          </w:tcPr>
          <w:p w14:paraId="0FA6A166" w14:textId="77777777" w:rsidR="00D86C03" w:rsidRPr="00950A0B" w:rsidRDefault="00D86C03" w:rsidP="00D86C03">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D86C03" w:rsidRPr="00950A0B" w:rsidRDefault="00D86C03" w:rsidP="00D86C03">
            <w:pPr>
              <w:spacing w:beforeLines="60" w:before="144" w:afterLines="60" w:after="144"/>
              <w:rPr>
                <w:rFonts w:ascii="Arial" w:hAnsi="Arial" w:cs="Arial"/>
                <w:b/>
                <w:sz w:val="20"/>
                <w:szCs w:val="20"/>
              </w:rPr>
            </w:pPr>
          </w:p>
        </w:tc>
        <w:tc>
          <w:tcPr>
            <w:tcW w:w="3671" w:type="pct"/>
          </w:tcPr>
          <w:p w14:paraId="0AA159DB" w14:textId="77777777" w:rsidR="00D86C03" w:rsidRPr="00FB6A5C" w:rsidRDefault="00D86C03" w:rsidP="00D86C03">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Pr>
                <w:rFonts w:ascii="Arial" w:hAnsi="Arial" w:cs="Arial"/>
                <w:sz w:val="20"/>
                <w:szCs w:val="20"/>
              </w:rPr>
              <w:br/>
            </w:r>
            <w:r>
              <w:rPr>
                <w:rFonts w:ascii="Arial" w:hAnsi="Arial" w:cs="Arial"/>
                <w:b/>
                <w:color w:val="4472C4" w:themeColor="accent1"/>
                <w:sz w:val="20"/>
                <w:szCs w:val="20"/>
              </w:rPr>
              <w:br/>
            </w:r>
            <w:r w:rsidRPr="00F241A0">
              <w:rPr>
                <w:rFonts w:ascii="Arial" w:hAnsi="Arial" w:cs="Arial"/>
                <w:b/>
                <w:color w:val="4472C4" w:themeColor="accent1"/>
                <w:sz w:val="20"/>
                <w:szCs w:val="20"/>
              </w:rPr>
              <w:t>Optionales Zubehör:</w:t>
            </w:r>
          </w:p>
          <w:p w14:paraId="6B00E0A0" w14:textId="77777777" w:rsidR="00D86C03" w:rsidRDefault="00D86C03" w:rsidP="00D86C0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D86C03" w:rsidRPr="00FB6A5C" w:rsidRDefault="00D86C03" w:rsidP="00D86C0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D86C03" w:rsidRPr="00F241A0" w14:paraId="37FACE44" w14:textId="77777777" w:rsidTr="009E63C1">
        <w:tc>
          <w:tcPr>
            <w:tcW w:w="1329" w:type="pct"/>
          </w:tcPr>
          <w:p w14:paraId="1536CB4D" w14:textId="77777777" w:rsidR="00D86C03" w:rsidRPr="00950A0B" w:rsidRDefault="00D86C03" w:rsidP="00D86C03">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D86C03" w:rsidRPr="00950A0B" w:rsidRDefault="00D86C03" w:rsidP="00D86C03">
            <w:pPr>
              <w:spacing w:beforeLines="60" w:before="144" w:afterLines="60" w:after="144"/>
              <w:rPr>
                <w:rFonts w:ascii="Arial" w:hAnsi="Arial" w:cs="Arial"/>
                <w:b/>
                <w:sz w:val="20"/>
                <w:szCs w:val="20"/>
              </w:rPr>
            </w:pPr>
          </w:p>
        </w:tc>
        <w:tc>
          <w:tcPr>
            <w:tcW w:w="3671" w:type="pct"/>
          </w:tcPr>
          <w:p w14:paraId="1F205F75" w14:textId="2A9EBF9C" w:rsidR="00D86C03" w:rsidRPr="00F241A0" w:rsidRDefault="00D86C03" w:rsidP="00D86C03">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 Profile naturfarben eloxiert (E6/EV1).</w:t>
            </w:r>
          </w:p>
        </w:tc>
      </w:tr>
      <w:tr w:rsidR="00D86C03" w:rsidRPr="00F241A0" w14:paraId="0FD6684B" w14:textId="77777777" w:rsidTr="009E63C1">
        <w:tc>
          <w:tcPr>
            <w:tcW w:w="1329" w:type="pct"/>
          </w:tcPr>
          <w:p w14:paraId="2D1530A5" w14:textId="3EF5AA00" w:rsidR="00D86C03" w:rsidRPr="00950A0B" w:rsidRDefault="00D86C03" w:rsidP="00D86C03">
            <w:pPr>
              <w:spacing w:beforeLines="60" w:before="144" w:afterLines="60" w:after="144"/>
              <w:rPr>
                <w:rFonts w:ascii="Arial" w:hAnsi="Arial" w:cs="Arial"/>
                <w:b/>
                <w:sz w:val="20"/>
                <w:szCs w:val="20"/>
              </w:rPr>
            </w:pPr>
            <w:r w:rsidRPr="00950A0B">
              <w:rPr>
                <w:rFonts w:ascii="Arial" w:hAnsi="Arial" w:cs="Arial"/>
                <w:b/>
                <w:sz w:val="20"/>
                <w:szCs w:val="20"/>
              </w:rPr>
              <w:t>HÖHE:</w:t>
            </w:r>
          </w:p>
        </w:tc>
        <w:tc>
          <w:tcPr>
            <w:tcW w:w="3671" w:type="pct"/>
          </w:tcPr>
          <w:p w14:paraId="63ECD5E4" w14:textId="3BCCE839" w:rsidR="00D86C03" w:rsidRPr="00F241A0" w:rsidRDefault="00D86C03" w:rsidP="00D86C03">
            <w:pPr>
              <w:spacing w:beforeLines="60" w:before="144" w:afterLines="60" w:after="144"/>
              <w:rPr>
                <w:rFonts w:ascii="Arial" w:hAnsi="Arial" w:cs="Arial"/>
                <w:color w:val="4205BB"/>
                <w:sz w:val="20"/>
                <w:szCs w:val="20"/>
              </w:rPr>
            </w:pPr>
            <w:r w:rsidRPr="00F241A0">
              <w:rPr>
                <w:rFonts w:ascii="Arial" w:hAnsi="Arial" w:cs="Arial"/>
                <w:sz w:val="20"/>
                <w:szCs w:val="20"/>
              </w:rPr>
              <w:t>Standardhöhe 2.0</w:t>
            </w:r>
            <w:r>
              <w:rPr>
                <w:rFonts w:ascii="Arial" w:hAnsi="Arial" w:cs="Arial"/>
                <w:sz w:val="20"/>
                <w:szCs w:val="20"/>
              </w:rPr>
              <w:t>8</w:t>
            </w:r>
            <w:r w:rsidRPr="00F241A0">
              <w:rPr>
                <w:rFonts w:ascii="Arial" w:hAnsi="Arial" w:cs="Arial"/>
                <w:sz w:val="20"/>
                <w:szCs w:val="20"/>
              </w:rPr>
              <w:t>0 mm einschl. 1</w:t>
            </w:r>
            <w:r>
              <w:rPr>
                <w:rFonts w:ascii="Arial" w:hAnsi="Arial" w:cs="Arial"/>
                <w:sz w:val="20"/>
                <w:szCs w:val="20"/>
              </w:rPr>
              <w:t>0</w:t>
            </w:r>
            <w:r w:rsidRPr="00F241A0">
              <w:rPr>
                <w:rFonts w:ascii="Arial" w:hAnsi="Arial" w:cs="Arial"/>
                <w:sz w:val="20"/>
                <w:szCs w:val="20"/>
              </w:rPr>
              <w:t>0 mm Bodenfreiheit.</w:t>
            </w:r>
          </w:p>
        </w:tc>
      </w:tr>
      <w:tr w:rsidR="00D86C03" w:rsidRPr="00F241A0" w14:paraId="540B2B5A" w14:textId="77777777" w:rsidTr="009E63C1">
        <w:tc>
          <w:tcPr>
            <w:tcW w:w="1329" w:type="pct"/>
          </w:tcPr>
          <w:p w14:paraId="2F6BBE45" w14:textId="77777777" w:rsidR="00D86C03" w:rsidRPr="00950A0B" w:rsidRDefault="00D86C03" w:rsidP="00D86C03">
            <w:pPr>
              <w:spacing w:beforeLines="60" w:before="144" w:afterLines="60" w:after="144"/>
              <w:rPr>
                <w:rFonts w:ascii="Arial" w:hAnsi="Arial" w:cs="Arial"/>
                <w:b/>
                <w:sz w:val="20"/>
                <w:szCs w:val="20"/>
              </w:rPr>
            </w:pPr>
            <w:r w:rsidRPr="00950A0B">
              <w:rPr>
                <w:rFonts w:ascii="Arial" w:hAnsi="Arial" w:cs="Arial"/>
                <w:b/>
                <w:sz w:val="20"/>
                <w:szCs w:val="20"/>
              </w:rPr>
              <w:t>ZUBEHÖR:</w:t>
            </w:r>
          </w:p>
          <w:p w14:paraId="422D3FA3" w14:textId="77777777" w:rsidR="00D86C03" w:rsidRDefault="00D86C03" w:rsidP="00D86C03">
            <w:pPr>
              <w:spacing w:beforeLines="60" w:before="144" w:afterLines="60" w:after="144"/>
              <w:rPr>
                <w:rFonts w:ascii="Arial" w:hAnsi="Arial" w:cs="Arial"/>
                <w:b/>
                <w:sz w:val="20"/>
                <w:szCs w:val="20"/>
              </w:rPr>
            </w:pPr>
          </w:p>
          <w:p w14:paraId="5F88FD1C" w14:textId="77777777" w:rsidR="00D86C03" w:rsidRDefault="00D86C03" w:rsidP="00D86C03">
            <w:pPr>
              <w:spacing w:beforeLines="60" w:before="144" w:afterLines="60" w:after="144"/>
              <w:rPr>
                <w:rFonts w:ascii="Arial" w:hAnsi="Arial" w:cs="Arial"/>
                <w:b/>
                <w:sz w:val="20"/>
                <w:szCs w:val="20"/>
              </w:rPr>
            </w:pPr>
          </w:p>
          <w:p w14:paraId="604FE668" w14:textId="26EA5233" w:rsidR="00D86C03" w:rsidRDefault="00D86C03" w:rsidP="00D86C03">
            <w:pPr>
              <w:spacing w:beforeLines="60" w:before="144" w:afterLines="60" w:after="144"/>
              <w:rPr>
                <w:rFonts w:ascii="Arial" w:hAnsi="Arial" w:cs="Arial"/>
                <w:b/>
                <w:sz w:val="20"/>
                <w:szCs w:val="20"/>
              </w:rPr>
            </w:pPr>
          </w:p>
          <w:p w14:paraId="06603018" w14:textId="08EB29EC" w:rsidR="00D86C03" w:rsidRDefault="00D86C03" w:rsidP="00D86C03">
            <w:pPr>
              <w:spacing w:beforeLines="60" w:before="144" w:afterLines="60" w:after="144"/>
              <w:rPr>
                <w:rFonts w:ascii="Arial" w:hAnsi="Arial" w:cs="Arial"/>
                <w:b/>
                <w:sz w:val="20"/>
                <w:szCs w:val="20"/>
              </w:rPr>
            </w:pPr>
          </w:p>
          <w:p w14:paraId="40B3FA7B" w14:textId="539D1FEB" w:rsidR="00D86C03" w:rsidRDefault="00D86C03" w:rsidP="00D86C03">
            <w:pPr>
              <w:spacing w:beforeLines="60" w:before="144" w:afterLines="60" w:after="144"/>
              <w:rPr>
                <w:rFonts w:ascii="Arial" w:hAnsi="Arial" w:cs="Arial"/>
                <w:b/>
                <w:sz w:val="20"/>
                <w:szCs w:val="20"/>
              </w:rPr>
            </w:pPr>
          </w:p>
          <w:p w14:paraId="4DDE4F0A" w14:textId="648B1636" w:rsidR="00D86C03" w:rsidRDefault="00D86C03" w:rsidP="00D86C03">
            <w:pPr>
              <w:spacing w:beforeLines="60" w:before="144" w:afterLines="60" w:after="144"/>
              <w:rPr>
                <w:rFonts w:ascii="Arial" w:hAnsi="Arial" w:cs="Arial"/>
                <w:b/>
                <w:sz w:val="20"/>
                <w:szCs w:val="20"/>
              </w:rPr>
            </w:pPr>
          </w:p>
          <w:p w14:paraId="46DFFED1" w14:textId="1A3F72AB" w:rsidR="00D86C03" w:rsidRDefault="00D86C03" w:rsidP="00D86C03">
            <w:pPr>
              <w:spacing w:beforeLines="60" w:before="144" w:afterLines="60" w:after="144"/>
              <w:rPr>
                <w:rFonts w:ascii="Arial" w:hAnsi="Arial" w:cs="Arial"/>
                <w:b/>
                <w:sz w:val="20"/>
                <w:szCs w:val="20"/>
              </w:rPr>
            </w:pPr>
          </w:p>
          <w:p w14:paraId="0F1EBC54" w14:textId="292B8A74" w:rsidR="00D86C03" w:rsidRDefault="00D86C03" w:rsidP="00D86C03">
            <w:pPr>
              <w:spacing w:beforeLines="60" w:before="144" w:afterLines="60" w:after="144"/>
              <w:rPr>
                <w:rFonts w:ascii="Arial" w:hAnsi="Arial" w:cs="Arial"/>
                <w:b/>
                <w:sz w:val="20"/>
                <w:szCs w:val="20"/>
              </w:rPr>
            </w:pPr>
          </w:p>
          <w:p w14:paraId="066B56DE" w14:textId="5EF02424" w:rsidR="00D86C03" w:rsidRDefault="00D86C03" w:rsidP="00D86C03">
            <w:pPr>
              <w:spacing w:beforeLines="60" w:before="144" w:afterLines="60" w:after="144"/>
              <w:rPr>
                <w:rFonts w:ascii="Arial" w:hAnsi="Arial" w:cs="Arial"/>
                <w:b/>
                <w:sz w:val="20"/>
                <w:szCs w:val="20"/>
              </w:rPr>
            </w:pPr>
          </w:p>
          <w:p w14:paraId="3DA75A56" w14:textId="5841663D" w:rsidR="00D86C03" w:rsidRDefault="00D86C03" w:rsidP="00D86C03">
            <w:pPr>
              <w:spacing w:beforeLines="60" w:before="144" w:afterLines="60" w:after="144"/>
              <w:rPr>
                <w:rFonts w:ascii="Arial" w:hAnsi="Arial" w:cs="Arial"/>
                <w:b/>
                <w:sz w:val="20"/>
                <w:szCs w:val="20"/>
              </w:rPr>
            </w:pPr>
          </w:p>
          <w:p w14:paraId="5FFC198F" w14:textId="656D7643" w:rsidR="00D86C03" w:rsidRDefault="00D86C03" w:rsidP="00D86C03">
            <w:pPr>
              <w:spacing w:beforeLines="60" w:before="144" w:afterLines="60" w:after="144"/>
              <w:rPr>
                <w:rFonts w:ascii="Arial" w:hAnsi="Arial" w:cs="Arial"/>
                <w:b/>
                <w:sz w:val="20"/>
                <w:szCs w:val="20"/>
              </w:rPr>
            </w:pPr>
          </w:p>
          <w:p w14:paraId="335ED716" w14:textId="586E2C4D" w:rsidR="00D86C03" w:rsidRDefault="00D86C03" w:rsidP="00D86C03">
            <w:pPr>
              <w:spacing w:beforeLines="60" w:before="144" w:afterLines="60" w:after="144"/>
              <w:rPr>
                <w:rFonts w:ascii="Arial" w:hAnsi="Arial" w:cs="Arial"/>
                <w:b/>
                <w:sz w:val="20"/>
                <w:szCs w:val="20"/>
              </w:rPr>
            </w:pPr>
          </w:p>
          <w:p w14:paraId="621AED2D" w14:textId="77777777" w:rsidR="00D86C03" w:rsidRDefault="00D86C03" w:rsidP="00D86C03">
            <w:pPr>
              <w:spacing w:beforeLines="60" w:before="144" w:afterLines="60" w:after="144"/>
              <w:rPr>
                <w:rFonts w:ascii="Arial" w:hAnsi="Arial" w:cs="Arial"/>
                <w:b/>
                <w:sz w:val="20"/>
                <w:szCs w:val="20"/>
              </w:rPr>
            </w:pPr>
          </w:p>
          <w:p w14:paraId="19A6E651" w14:textId="77777777" w:rsidR="00D86C03" w:rsidRDefault="00D86C03" w:rsidP="00D86C03">
            <w:pPr>
              <w:spacing w:beforeLines="60" w:before="144" w:afterLines="60" w:after="144"/>
              <w:rPr>
                <w:rFonts w:ascii="Arial" w:hAnsi="Arial" w:cs="Arial"/>
                <w:b/>
                <w:sz w:val="20"/>
                <w:szCs w:val="20"/>
              </w:rPr>
            </w:pPr>
          </w:p>
          <w:p w14:paraId="45E374A5" w14:textId="77777777" w:rsidR="00D86C03" w:rsidRDefault="00D86C03" w:rsidP="00D86C03">
            <w:pPr>
              <w:spacing w:beforeLines="60" w:before="144" w:afterLines="60" w:after="144"/>
              <w:rPr>
                <w:rFonts w:ascii="Arial" w:hAnsi="Arial" w:cs="Arial"/>
                <w:b/>
                <w:sz w:val="20"/>
                <w:szCs w:val="20"/>
              </w:rPr>
            </w:pPr>
          </w:p>
          <w:p w14:paraId="536F194F" w14:textId="68F63FDC" w:rsidR="00D86C03" w:rsidRPr="00950A0B" w:rsidRDefault="00B60EAF" w:rsidP="00D86C03">
            <w:pPr>
              <w:spacing w:beforeLines="60" w:before="144" w:afterLines="60" w:after="144"/>
              <w:rPr>
                <w:rFonts w:ascii="Arial" w:hAnsi="Arial" w:cs="Arial"/>
                <w:b/>
                <w:sz w:val="20"/>
                <w:szCs w:val="20"/>
              </w:rPr>
            </w:pPr>
            <w:r>
              <w:rPr>
                <w:rFonts w:ascii="Arial" w:hAnsi="Arial" w:cs="Arial"/>
                <w:b/>
                <w:sz w:val="20"/>
                <w:szCs w:val="20"/>
              </w:rPr>
              <w:t>11</w:t>
            </w:r>
            <w:r w:rsidR="00D86C03">
              <w:rPr>
                <w:rFonts w:ascii="Arial" w:hAnsi="Arial" w:cs="Arial"/>
                <w:b/>
                <w:sz w:val="20"/>
                <w:szCs w:val="20"/>
              </w:rPr>
              <w:t>/2020</w:t>
            </w:r>
          </w:p>
        </w:tc>
        <w:tc>
          <w:tcPr>
            <w:tcW w:w="3671" w:type="pct"/>
          </w:tcPr>
          <w:p w14:paraId="4C228E38" w14:textId="1920B2B3" w:rsidR="00D86C03" w:rsidRPr="00F241A0" w:rsidRDefault="00D86C03" w:rsidP="00D86C03">
            <w:pPr>
              <w:spacing w:beforeLines="60" w:before="144" w:afterLines="60" w:after="144"/>
              <w:rPr>
                <w:rFonts w:ascii="Arial" w:hAnsi="Arial" w:cs="Arial"/>
                <w:sz w:val="20"/>
                <w:szCs w:val="20"/>
              </w:rPr>
            </w:pPr>
            <w:r w:rsidRPr="00F241A0">
              <w:rPr>
                <w:rFonts w:ascii="Arial" w:hAnsi="Arial" w:cs="Arial"/>
                <w:sz w:val="20"/>
                <w:szCs w:val="20"/>
              </w:rPr>
              <w:lastRenderedPageBreak/>
              <w:t>Urinalschamwand 400 x 900 mm, aus dem gleichen Material wie die Kabinenelemente wandhängend</w:t>
            </w:r>
            <w:r>
              <w:rPr>
                <w:rFonts w:ascii="Arial" w:hAnsi="Arial" w:cs="Arial"/>
                <w:sz w:val="20"/>
                <w:szCs w:val="20"/>
              </w:rPr>
              <w:t xml:space="preserve">. </w:t>
            </w:r>
            <w:r w:rsidRPr="00F241A0">
              <w:rPr>
                <w:rFonts w:ascii="Arial" w:hAnsi="Arial" w:cs="Arial"/>
                <w:sz w:val="20"/>
                <w:szCs w:val="20"/>
              </w:rPr>
              <w:t>Befestig</w:t>
            </w:r>
            <w:r>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64B6CE09" w14:textId="41FEC33F" w:rsidR="00D86C03" w:rsidRPr="00F241A0" w:rsidRDefault="00D86C03" w:rsidP="00D86C03">
            <w:pPr>
              <w:tabs>
                <w:tab w:val="right" w:pos="6096"/>
              </w:tabs>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r w:rsidRPr="00F241A0">
              <w:rPr>
                <w:rFonts w:ascii="Arial" w:hAnsi="Arial" w:cs="Arial"/>
                <w:color w:val="4472C4" w:themeColor="accent1"/>
                <w:sz w:val="20"/>
                <w:szCs w:val="20"/>
              </w:rPr>
              <w:t xml:space="preserve">Urinalschamwand 400 x 900 mm, aus 10 mm </w:t>
            </w:r>
            <w:r w:rsidRPr="00F241A0">
              <w:rPr>
                <w:rFonts w:ascii="Arial" w:hAnsi="Arial" w:cs="Arial"/>
                <w:color w:val="4472C4" w:themeColor="accent1"/>
                <w:sz w:val="20"/>
                <w:szCs w:val="20"/>
              </w:rPr>
              <w:lastRenderedPageBreak/>
              <w:t>Einscheibensicherheitsglas mit einseitig keramischem Siebdruck. Wandhängend befestigt mittels 4 eloxierter Aluminiumwinkel</w:t>
            </w:r>
            <w:r>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C430C"/>
    <w:rsid w:val="00224843"/>
    <w:rsid w:val="002C2EC5"/>
    <w:rsid w:val="0030792D"/>
    <w:rsid w:val="00343003"/>
    <w:rsid w:val="00386D73"/>
    <w:rsid w:val="003E0B23"/>
    <w:rsid w:val="004477AF"/>
    <w:rsid w:val="00483370"/>
    <w:rsid w:val="00505AE8"/>
    <w:rsid w:val="0055246D"/>
    <w:rsid w:val="005979F5"/>
    <w:rsid w:val="00787D97"/>
    <w:rsid w:val="007F7E9C"/>
    <w:rsid w:val="00912DF4"/>
    <w:rsid w:val="00950A0B"/>
    <w:rsid w:val="009E63C1"/>
    <w:rsid w:val="00A21E08"/>
    <w:rsid w:val="00A24CF3"/>
    <w:rsid w:val="00A65B78"/>
    <w:rsid w:val="00AD3A35"/>
    <w:rsid w:val="00B32109"/>
    <w:rsid w:val="00B60EAF"/>
    <w:rsid w:val="00BD64CE"/>
    <w:rsid w:val="00C6673E"/>
    <w:rsid w:val="00D86C03"/>
    <w:rsid w:val="00DF4FAC"/>
    <w:rsid w:val="00ED29E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2">
    <w:name w:val="Textkörper 22"/>
    <w:basedOn w:val="Standard"/>
    <w:rsid w:val="00D86C0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1170</Words>
  <Characters>7372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Jennifer Buchheit</cp:lastModifiedBy>
  <cp:revision>4</cp:revision>
  <dcterms:created xsi:type="dcterms:W3CDTF">2020-05-04T05:49:00Z</dcterms:created>
  <dcterms:modified xsi:type="dcterms:W3CDTF">2020-11-06T07:19:00Z</dcterms:modified>
</cp:coreProperties>
</file>