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7184AE32"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 EF-3</w:t>
            </w:r>
            <w:r w:rsidR="00E32CAF">
              <w:rPr>
                <w:rFonts w:ascii="Arial" w:hAnsi="Arial" w:cs="Arial"/>
                <w:b/>
                <w:sz w:val="20"/>
                <w:szCs w:val="20"/>
              </w:rPr>
              <w:t xml:space="preserve"> ALTUS</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46C58F7D"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EF-3 </w:t>
            </w:r>
            <w:r w:rsidR="00E32CAF">
              <w:rPr>
                <w:rFonts w:ascii="Arial" w:hAnsi="Arial" w:cs="Arial"/>
                <w:b/>
                <w:sz w:val="20"/>
                <w:szCs w:val="20"/>
              </w:rPr>
              <w:t xml:space="preserve">ALTUS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9E63C1">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9E63C1">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9E63C1">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5EBD3D2" w:rsidR="00FD0BF0" w:rsidRDefault="000E49B2" w:rsidP="009E63C1">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2329FF6D" w14:textId="0214817B" w:rsidR="007B0F47" w:rsidRPr="00F241A0" w:rsidRDefault="007B0F47" w:rsidP="009E63C1">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9E63C1">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81F265A" w:rsidR="000E49B2" w:rsidRPr="00F241A0" w:rsidRDefault="00E32CAF" w:rsidP="009E63C1">
            <w:pPr>
              <w:spacing w:beforeLines="60" w:before="144" w:afterLines="60" w:after="144"/>
              <w:rPr>
                <w:rFonts w:ascii="Arial" w:hAnsi="Arial" w:cs="Arial"/>
                <w:sz w:val="20"/>
                <w:szCs w:val="20"/>
              </w:rPr>
            </w:pPr>
            <w:r w:rsidRPr="00E32CAF">
              <w:rPr>
                <w:rFonts w:ascii="Arial" w:hAnsi="Arial" w:cs="Arial"/>
                <w:sz w:val="20"/>
                <w:szCs w:val="20"/>
              </w:rPr>
              <w:t xml:space="preserve">Raumhohe WC-Trennwandanlage. </w:t>
            </w:r>
            <w:r w:rsidR="00DF4FAC"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098F12DE" w14:textId="0ECF3BC8" w:rsidR="00E32CAF" w:rsidRPr="00E32CAF" w:rsidRDefault="00E32CAF" w:rsidP="00E32CAF">
            <w:pPr>
              <w:spacing w:beforeLines="60" w:before="144" w:afterLines="60" w:after="144"/>
              <w:rPr>
                <w:rFonts w:ascii="Arial" w:hAnsi="Arial" w:cs="Arial"/>
                <w:sz w:val="20"/>
                <w:szCs w:val="20"/>
              </w:rPr>
            </w:pPr>
            <w:r w:rsidRPr="00E32CAF">
              <w:rPr>
                <w:rFonts w:ascii="Arial" w:hAnsi="Arial" w:cs="Arial"/>
                <w:sz w:val="20"/>
                <w:szCs w:val="20"/>
              </w:rPr>
              <w:t xml:space="preserve">Raumhohe </w:t>
            </w:r>
            <w:r>
              <w:rPr>
                <w:rFonts w:ascii="Arial" w:hAnsi="Arial" w:cs="Arial"/>
                <w:sz w:val="20"/>
                <w:szCs w:val="20"/>
              </w:rPr>
              <w:t xml:space="preserve">WC-Trennwandanlage </w:t>
            </w:r>
            <w:r w:rsidRPr="00E32CAF">
              <w:rPr>
                <w:rFonts w:ascii="Arial" w:hAnsi="Arial" w:cs="Arial"/>
                <w:sz w:val="20"/>
                <w:szCs w:val="20"/>
              </w:rPr>
              <w:t>als 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w:t>
            </w:r>
          </w:p>
          <w:p w14:paraId="50D37AC8" w14:textId="77777777" w:rsidR="00E32CAF" w:rsidRPr="00E32CAF" w:rsidRDefault="00E32CAF" w:rsidP="00E32CAF">
            <w:pPr>
              <w:spacing w:beforeLines="60" w:before="144" w:afterLines="60" w:after="144"/>
              <w:rPr>
                <w:rFonts w:ascii="Arial" w:hAnsi="Arial" w:cs="Arial"/>
                <w:sz w:val="20"/>
                <w:szCs w:val="20"/>
              </w:rPr>
            </w:pPr>
            <w:r w:rsidRPr="00E32CAF">
              <w:rPr>
                <w:rFonts w:ascii="Arial" w:hAnsi="Arial" w:cs="Arial"/>
                <w:sz w:val="20"/>
                <w:szCs w:val="20"/>
              </w:rPr>
              <w:t>Die Vorderfrontelemente müssen durchgehend vom Boden bis zur Decke ausgeführt werden. Eine Unterbrechung durch Profilsysteme ist nicht zulässig. Die senkrechten Kanten der Elemente (Türen und Seitenteile) be</w:t>
            </w:r>
            <w:r w:rsidRPr="00E32CAF">
              <w:rPr>
                <w:rFonts w:ascii="Arial" w:hAnsi="Arial" w:cs="Arial"/>
                <w:sz w:val="20"/>
                <w:szCs w:val="20"/>
              </w:rPr>
              <w:softHyphen/>
              <w:t xml:space="preserve">stehen aus einem gefälzten Aluminiumprofil. </w:t>
            </w:r>
          </w:p>
          <w:p w14:paraId="03F85C1F" w14:textId="4DA68661" w:rsidR="000E49B2" w:rsidRPr="00E32CAF" w:rsidRDefault="00E32CAF" w:rsidP="00E32CAF">
            <w:pPr>
              <w:spacing w:beforeLines="60" w:before="144" w:afterLines="60" w:after="144"/>
              <w:rPr>
                <w:rFonts w:ascii="Arial" w:hAnsi="Arial" w:cs="Arial"/>
                <w:sz w:val="20"/>
                <w:szCs w:val="20"/>
              </w:rPr>
            </w:pPr>
            <w:r w:rsidRPr="00E32CAF">
              <w:rPr>
                <w:rFonts w:ascii="Arial" w:hAnsi="Arial" w:cs="Arial"/>
                <w:sz w:val="20"/>
                <w:szCs w:val="20"/>
              </w:rPr>
              <w:t>Gesamte Vorderfront umlaufend mit einer</w:t>
            </w:r>
            <w:r w:rsidRPr="00E32CAF">
              <w:t xml:space="preserve"> </w:t>
            </w:r>
            <w:r w:rsidRPr="00E32CAF">
              <w:rPr>
                <w:rFonts w:ascii="Arial" w:hAnsi="Arial" w:cs="Arial"/>
                <w:sz w:val="20"/>
                <w:szCs w:val="20"/>
              </w:rPr>
              <w:t xml:space="preserve">Schattenfuge (seitlich ca. 10 – 15 mm, oben und unten ca. 15 – 20 mm). Bei abgehangenen Decken </w:t>
            </w:r>
            <w:r w:rsidRPr="00E32CAF">
              <w:rPr>
                <w:rFonts w:ascii="Arial" w:hAnsi="Arial" w:cs="Arial"/>
                <w:sz w:val="20"/>
                <w:szCs w:val="20"/>
              </w:rPr>
              <w:lastRenderedPageBreak/>
              <w:t xml:space="preserve">muss bauseits eine ausreichend stabile Unterkonstruktion in der Decke vorhanden sein. </w:t>
            </w:r>
            <w:r>
              <w:rPr>
                <w:rFonts w:ascii="Arial" w:hAnsi="Arial" w:cs="Arial"/>
                <w:sz w:val="20"/>
                <w:szCs w:val="20"/>
              </w:rPr>
              <w:br/>
            </w:r>
            <w:r w:rsidRPr="00E32CAF">
              <w:rPr>
                <w:rFonts w:ascii="Arial" w:hAnsi="Arial" w:cs="Arial"/>
                <w:sz w:val="20"/>
                <w:szCs w:val="20"/>
              </w:rPr>
              <w:t>Die Konstruktion der Mittelwände entspricht der der raumhohen Vorderfrontelemente. Eine Trennung der Elemente in waagerechter Richtung ist nicht zulässig. Umlaufend Schattenfuge. Anschluss Trennwand – Vorderfront erfolgt stumpf und nicht sichtbar.</w:t>
            </w:r>
          </w:p>
          <w:p w14:paraId="1EE015F3" w14:textId="5173418C" w:rsidR="00A24CF3" w:rsidRPr="00E32CAF"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1BC940A" w14:textId="776BE4B3"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w:t>
            </w:r>
            <w:r w:rsidR="00E32CAF" w:rsidRPr="00E32CAF">
              <w:rPr>
                <w:rFonts w:ascii="Arial" w:hAnsi="Arial" w:cs="Arial"/>
                <w:sz w:val="20"/>
                <w:szCs w:val="20"/>
              </w:rPr>
              <w:t>3 Steigebänder aus Aluminium, in den Falz eingeschraubt, mit Steigeeinsätzen aus Hochleistungspolymer. Türöffnungswinkel maximal 180°</w:t>
            </w:r>
            <w:r w:rsidR="00E32CAF">
              <w:rPr>
                <w:rFonts w:ascii="Arial" w:hAnsi="Arial" w:cs="Arial"/>
                <w:sz w:val="20"/>
                <w:szCs w:val="20"/>
              </w:rPr>
              <w:t xml:space="preserve">, </w:t>
            </w:r>
            <w:r w:rsidRPr="00F241A0">
              <w:rPr>
                <w:rFonts w:ascii="Arial" w:hAnsi="Arial" w:cs="Arial"/>
                <w:sz w:val="20"/>
                <w:szCs w:val="20"/>
              </w:rPr>
              <w:t xml:space="preserve">einstellbar für </w:t>
            </w:r>
            <w:r w:rsidR="00BF0349">
              <w:rPr>
                <w:rFonts w:ascii="Arial" w:hAnsi="Arial" w:cs="Arial"/>
                <w:sz w:val="20"/>
                <w:szCs w:val="20"/>
              </w:rPr>
              <w:t xml:space="preserve">automatisches </w:t>
            </w:r>
            <w:r w:rsidRPr="00F241A0">
              <w:rPr>
                <w:rFonts w:ascii="Arial" w:hAnsi="Arial" w:cs="Arial"/>
                <w:sz w:val="20"/>
                <w:szCs w:val="20"/>
              </w:rPr>
              <w:t xml:space="preserve">Offenhalten oder Schließen der Türen. </w:t>
            </w:r>
          </w:p>
          <w:p w14:paraId="0A880EB7"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Riegelschloss mit Zinkdruckgussriegel und Edelstahlstulp. Schäfer Einhandbeschlag aus Polyamid. Außen feststehender Knopf mit Frei-/Besetzt-Anzeige hinter Plexiglasscheibe und Notentriegelungsöffnung für Sechskant-Stiftschlüssel. Innen gerändelter Drehknopf mit weißem Anzeigepfeil. </w:t>
            </w:r>
          </w:p>
          <w:p w14:paraId="5D050545" w14:textId="77777777" w:rsidR="0036741E"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00E32CAF" w:rsidRPr="00F241A0">
              <w:rPr>
                <w:rFonts w:ascii="Arial" w:hAnsi="Arial" w:cs="Arial"/>
                <w:color w:val="4472C4" w:themeColor="accent1"/>
                <w:sz w:val="20"/>
                <w:szCs w:val="20"/>
              </w:rPr>
              <w:br/>
            </w:r>
            <w:r w:rsidR="00E32CAF">
              <w:rPr>
                <w:rFonts w:ascii="Arial" w:hAnsi="Arial" w:cs="Arial"/>
                <w:color w:val="4472C4" w:themeColor="accent1"/>
                <w:sz w:val="20"/>
                <w:szCs w:val="20"/>
              </w:rPr>
              <w:t xml:space="preserve">In der Front nicht sichtbare in den Falz eingelassene Scharniere, z. B. Simonswerk Tectus ohne selbstschließende Funktion. </w:t>
            </w:r>
          </w:p>
          <w:p w14:paraId="7A3E58AD" w14:textId="3DE6DEFA" w:rsidR="00E32CAF" w:rsidRPr="0036741E" w:rsidRDefault="00E32CAF"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In der Front nicht sichtbare in den Falz eingelassene Scharniere, z. B. Simonswerk Tectus. Selbstschließende Funktion der Türen durch in der Front nich</w:t>
            </w:r>
            <w:r w:rsidR="0036741E">
              <w:rPr>
                <w:rFonts w:ascii="Arial" w:hAnsi="Arial" w:cs="Arial"/>
                <w:color w:val="4472C4" w:themeColor="accent1"/>
                <w:sz w:val="20"/>
                <w:szCs w:val="20"/>
              </w:rPr>
              <w:t>t</w:t>
            </w:r>
            <w:r>
              <w:rPr>
                <w:rFonts w:ascii="Arial" w:hAnsi="Arial" w:cs="Arial"/>
                <w:color w:val="4472C4" w:themeColor="accent1"/>
                <w:sz w:val="20"/>
                <w:szCs w:val="20"/>
              </w:rPr>
              <w:t xml:space="preserve"> sichtbaren im Falz liegenden Türschließer. </w:t>
            </w:r>
          </w:p>
          <w:p w14:paraId="168D896C"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w:t>
            </w:r>
            <w:r w:rsidR="009E63C1">
              <w:rPr>
                <w:rFonts w:ascii="Arial" w:hAnsi="Arial" w:cs="Arial"/>
                <w:color w:val="4472C4" w:themeColor="accent1"/>
                <w:sz w:val="20"/>
                <w:szCs w:val="20"/>
              </w:rPr>
              <w:br/>
            </w:r>
            <w:r w:rsidRPr="00F241A0">
              <w:rPr>
                <w:rFonts w:ascii="Arial" w:hAnsi="Arial" w:cs="Arial"/>
                <w:color w:val="4472C4" w:themeColor="accent1"/>
                <w:sz w:val="20"/>
                <w:szCs w:val="20"/>
              </w:rPr>
              <w:t xml:space="preserve">25 mm breiten Sichtfenstern der Frei-/Besetzt-Anzeige. Der Verriegelungszustand muss auch innerhalb der Kabine angezeigt werden. Beschlagslösungen, die den Verriegelungszustand in der Kabine nicht anzeigen sind nicht zugelassen. </w:t>
            </w:r>
          </w:p>
          <w:p w14:paraId="4EDD9F0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aus Edelstahl. Außen feststehender Knopf mit Frei-/Besetzt-Anzeige und Notentriegelungsöffnung für Sechskant-Stiftschlüssel. Innen gerändelter Drehknopf mit weißem Anzeigepfeil. </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w:t>
            </w:r>
            <w:r w:rsidRPr="00F241A0">
              <w:rPr>
                <w:rFonts w:ascii="Arial" w:hAnsi="Arial" w:cs="Arial"/>
                <w:color w:val="4472C4" w:themeColor="accent1"/>
                <w:sz w:val="20"/>
                <w:szCs w:val="20"/>
              </w:rPr>
              <w:lastRenderedPageBreak/>
              <w:t xml:space="preserve">Riegelolive, Frei-/Besetzt-Anzeige und Notentriegelung außen. Haken und Puffer ebenfalls aus eloxiertem Aluminium. </w:t>
            </w:r>
          </w:p>
          <w:p w14:paraId="531D941C"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r w:rsidR="008D01CA">
              <w:rPr>
                <w:rFonts w:ascii="Arial" w:hAnsi="Arial" w:cs="Arial"/>
                <w:color w:val="4472C4" w:themeColor="accent1"/>
                <w:sz w:val="20"/>
                <w:szCs w:val="20"/>
              </w:rPr>
              <w:br/>
            </w:r>
          </w:p>
          <w:p w14:paraId="2317B7F7" w14:textId="77777777" w:rsidR="008D01CA" w:rsidRDefault="008D01CA" w:rsidP="008D01CA">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greiffreundlichem Drehknopf mit zwei deutlich sichtbaren, mindestens </w:t>
            </w:r>
            <w:r>
              <w:rPr>
                <w:rFonts w:ascii="Arial" w:hAnsi="Arial" w:cs="Arial"/>
                <w:color w:val="4472C4" w:themeColor="accent1"/>
                <w:sz w:val="20"/>
                <w:szCs w:val="20"/>
              </w:rPr>
              <w:br/>
              <w:t xml:space="preserve">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5FF932A7" w:rsidR="008D01CA" w:rsidRPr="00F241A0" w:rsidRDefault="008D01CA" w:rsidP="008D01CA">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r>
              <w:rPr>
                <w:rFonts w:ascii="Arial" w:hAnsi="Arial" w:cs="Arial"/>
                <w:color w:val="4472C4" w:themeColor="accent1"/>
                <w:sz w:val="20"/>
                <w:szCs w:val="20"/>
              </w:rPr>
              <w:t>Zusätzlich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77777777"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Innenliegende Rahmenprofile naturfarben eloxiert (E6/EV1). Sonstige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03D44034" w:rsidR="00F241A0" w:rsidRPr="00F241A0" w:rsidRDefault="00C02A75" w:rsidP="00C02A75">
            <w:pPr>
              <w:tabs>
                <w:tab w:val="right" w:pos="6096"/>
              </w:tabs>
              <w:spacing w:beforeLines="60" w:before="144" w:afterLines="60" w:after="144"/>
              <w:rPr>
                <w:rFonts w:ascii="Arial" w:hAnsi="Arial" w:cs="Arial"/>
                <w:color w:val="4205BB"/>
                <w:sz w:val="20"/>
                <w:szCs w:val="20"/>
              </w:rPr>
            </w:pPr>
            <w:r w:rsidRPr="00C02A75">
              <w:rPr>
                <w:rFonts w:ascii="Arial" w:hAnsi="Arial" w:cs="Arial"/>
                <w:sz w:val="20"/>
                <w:szCs w:val="20"/>
              </w:rPr>
              <w:t>Raumhohe Anlagen, angepasst an die jeweilige bauliche Situation. Türhöhe begrenzt auf 2.</w:t>
            </w:r>
            <w:r>
              <w:rPr>
                <w:rFonts w:ascii="Arial" w:hAnsi="Arial" w:cs="Arial"/>
                <w:sz w:val="20"/>
                <w:szCs w:val="20"/>
              </w:rPr>
              <w:t>6</w:t>
            </w:r>
            <w:r w:rsidRPr="00C02A75">
              <w:rPr>
                <w:rFonts w:ascii="Arial" w:hAnsi="Arial" w:cs="Arial"/>
                <w:sz w:val="20"/>
                <w:szCs w:val="20"/>
              </w:rPr>
              <w:t>50 mm. Bei höheren Anlagen wird über den Türen eine Blende flächenbündig angebracht</w:t>
            </w:r>
            <w:r>
              <w:rPr>
                <w:rFonts w:ascii="Arial" w:hAnsi="Arial" w:cs="Arial"/>
                <w:sz w:val="20"/>
                <w:szCs w:val="20"/>
              </w:rPr>
              <w:t>, die unsichtbar befestigt ist.</w:t>
            </w:r>
            <w:r w:rsidRPr="00C02A75">
              <w:rPr>
                <w:rFonts w:ascii="Arial" w:hAnsi="Arial" w:cs="Arial"/>
                <w:sz w:val="20"/>
                <w:szCs w:val="20"/>
              </w:rPr>
              <w:t xml:space="preserve"> </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7D28233C" w14:textId="77777777" w:rsidR="00386D73" w:rsidRDefault="00386D73" w:rsidP="009E63C1">
            <w:pPr>
              <w:spacing w:beforeLines="60" w:before="144" w:afterLines="60" w:after="144"/>
              <w:rPr>
                <w:rFonts w:ascii="Arial" w:hAnsi="Arial" w:cs="Arial"/>
                <w:b/>
                <w:sz w:val="20"/>
                <w:szCs w:val="20"/>
              </w:rPr>
            </w:pPr>
          </w:p>
          <w:p w14:paraId="3A6603BF" w14:textId="77777777" w:rsidR="00386D73" w:rsidRDefault="00386D73" w:rsidP="009E63C1">
            <w:pPr>
              <w:spacing w:beforeLines="60" w:before="144" w:afterLines="60" w:after="144"/>
              <w:rPr>
                <w:rFonts w:ascii="Arial" w:hAnsi="Arial" w:cs="Arial"/>
                <w:b/>
                <w:sz w:val="20"/>
                <w:szCs w:val="20"/>
              </w:rPr>
            </w:pPr>
          </w:p>
          <w:p w14:paraId="62058DD5" w14:textId="0A1F0B2F" w:rsidR="00C02A75" w:rsidRDefault="00C02A75" w:rsidP="009E63C1">
            <w:pPr>
              <w:spacing w:beforeLines="60" w:before="144" w:afterLines="60" w:after="144"/>
              <w:rPr>
                <w:rFonts w:ascii="Arial" w:hAnsi="Arial" w:cs="Arial"/>
                <w:b/>
                <w:sz w:val="20"/>
                <w:szCs w:val="20"/>
              </w:rPr>
            </w:pPr>
          </w:p>
          <w:p w14:paraId="63FCC5A4" w14:textId="73370DED" w:rsidR="00C02A75" w:rsidRDefault="00C02A75" w:rsidP="009E63C1">
            <w:pPr>
              <w:spacing w:beforeLines="60" w:before="144" w:afterLines="60" w:after="144"/>
              <w:rPr>
                <w:rFonts w:ascii="Arial" w:hAnsi="Arial" w:cs="Arial"/>
                <w:b/>
                <w:sz w:val="20"/>
                <w:szCs w:val="20"/>
              </w:rPr>
            </w:pPr>
          </w:p>
          <w:p w14:paraId="6DEC8588" w14:textId="77777777" w:rsidR="00C02A75" w:rsidRDefault="00C02A75" w:rsidP="009E63C1">
            <w:pPr>
              <w:spacing w:beforeLines="60" w:before="144" w:afterLines="60" w:after="144"/>
              <w:rPr>
                <w:rFonts w:ascii="Arial" w:hAnsi="Arial" w:cs="Arial"/>
                <w:b/>
                <w:sz w:val="20"/>
                <w:szCs w:val="20"/>
              </w:rPr>
            </w:pPr>
          </w:p>
          <w:p w14:paraId="1928DB16" w14:textId="348AE987" w:rsidR="00386D73" w:rsidRDefault="00386D73" w:rsidP="009E63C1">
            <w:pPr>
              <w:spacing w:beforeLines="60" w:before="144" w:afterLines="60" w:after="144"/>
              <w:rPr>
                <w:rFonts w:ascii="Arial" w:hAnsi="Arial" w:cs="Arial"/>
                <w:b/>
                <w:sz w:val="20"/>
                <w:szCs w:val="20"/>
              </w:rPr>
            </w:pPr>
          </w:p>
          <w:p w14:paraId="502DC1AD" w14:textId="066BD754" w:rsidR="008D01CA" w:rsidRDefault="008D01CA" w:rsidP="009E63C1">
            <w:pPr>
              <w:spacing w:beforeLines="60" w:before="144" w:afterLines="60" w:after="144"/>
              <w:rPr>
                <w:rFonts w:ascii="Arial" w:hAnsi="Arial" w:cs="Arial"/>
                <w:b/>
                <w:sz w:val="20"/>
                <w:szCs w:val="20"/>
              </w:rPr>
            </w:pPr>
          </w:p>
          <w:p w14:paraId="72305DF2" w14:textId="4491021A" w:rsidR="008D01CA" w:rsidRDefault="008D01CA" w:rsidP="009E63C1">
            <w:pPr>
              <w:spacing w:beforeLines="60" w:before="144" w:afterLines="60" w:after="144"/>
              <w:rPr>
                <w:rFonts w:ascii="Arial" w:hAnsi="Arial" w:cs="Arial"/>
                <w:b/>
                <w:sz w:val="20"/>
                <w:szCs w:val="20"/>
              </w:rPr>
            </w:pPr>
          </w:p>
          <w:p w14:paraId="0A0A7C96" w14:textId="4F5A3180" w:rsidR="008D01CA" w:rsidRDefault="008D01CA" w:rsidP="009E63C1">
            <w:pPr>
              <w:spacing w:beforeLines="60" w:before="144" w:afterLines="60" w:after="144"/>
              <w:rPr>
                <w:rFonts w:ascii="Arial" w:hAnsi="Arial" w:cs="Arial"/>
                <w:b/>
                <w:sz w:val="20"/>
                <w:szCs w:val="20"/>
              </w:rPr>
            </w:pPr>
          </w:p>
          <w:p w14:paraId="5229DF61" w14:textId="2B6B6AF3" w:rsidR="008D01CA" w:rsidRDefault="008D01CA" w:rsidP="009E63C1">
            <w:pPr>
              <w:spacing w:beforeLines="60" w:before="144" w:afterLines="60" w:after="144"/>
              <w:rPr>
                <w:rFonts w:ascii="Arial" w:hAnsi="Arial" w:cs="Arial"/>
                <w:b/>
                <w:sz w:val="20"/>
                <w:szCs w:val="20"/>
              </w:rPr>
            </w:pPr>
          </w:p>
          <w:p w14:paraId="52F2B688" w14:textId="44515978" w:rsidR="008D01CA" w:rsidRDefault="008D01CA" w:rsidP="009E63C1">
            <w:pPr>
              <w:spacing w:beforeLines="60" w:before="144" w:afterLines="60" w:after="144"/>
              <w:rPr>
                <w:rFonts w:ascii="Arial" w:hAnsi="Arial" w:cs="Arial"/>
                <w:b/>
                <w:sz w:val="20"/>
                <w:szCs w:val="20"/>
              </w:rPr>
            </w:pPr>
          </w:p>
          <w:p w14:paraId="7FE2372B" w14:textId="246B6003" w:rsidR="008D01CA" w:rsidRDefault="008D01CA" w:rsidP="009E63C1">
            <w:pPr>
              <w:spacing w:beforeLines="60" w:before="144" w:afterLines="60" w:after="144"/>
              <w:rPr>
                <w:rFonts w:ascii="Arial" w:hAnsi="Arial" w:cs="Arial"/>
                <w:b/>
                <w:sz w:val="20"/>
                <w:szCs w:val="20"/>
              </w:rPr>
            </w:pPr>
          </w:p>
          <w:p w14:paraId="464F2270" w14:textId="64E90A3D" w:rsidR="008D01CA" w:rsidRDefault="008D01CA" w:rsidP="009E63C1">
            <w:pPr>
              <w:spacing w:beforeLines="60" w:before="144" w:afterLines="60" w:after="144"/>
              <w:rPr>
                <w:rFonts w:ascii="Arial" w:hAnsi="Arial" w:cs="Arial"/>
                <w:b/>
                <w:sz w:val="20"/>
                <w:szCs w:val="20"/>
              </w:rPr>
            </w:pPr>
          </w:p>
          <w:p w14:paraId="5B3AA10C" w14:textId="73412FDC" w:rsidR="008D01CA" w:rsidRDefault="008D01CA" w:rsidP="009E63C1">
            <w:pPr>
              <w:spacing w:beforeLines="60" w:before="144" w:afterLines="60" w:after="144"/>
              <w:rPr>
                <w:rFonts w:ascii="Arial" w:hAnsi="Arial" w:cs="Arial"/>
                <w:b/>
                <w:sz w:val="20"/>
                <w:szCs w:val="20"/>
              </w:rPr>
            </w:pPr>
          </w:p>
          <w:p w14:paraId="26D5F758" w14:textId="797EBE83" w:rsidR="008D01CA" w:rsidRDefault="008D01CA" w:rsidP="009E63C1">
            <w:pPr>
              <w:spacing w:beforeLines="60" w:before="144" w:afterLines="60" w:after="144"/>
              <w:rPr>
                <w:rFonts w:ascii="Arial" w:hAnsi="Arial" w:cs="Arial"/>
                <w:b/>
                <w:sz w:val="20"/>
                <w:szCs w:val="20"/>
              </w:rPr>
            </w:pPr>
          </w:p>
          <w:p w14:paraId="0E5F95BD" w14:textId="040027BD" w:rsidR="008D01CA" w:rsidRDefault="008D01CA" w:rsidP="009E63C1">
            <w:pPr>
              <w:spacing w:beforeLines="60" w:before="144" w:afterLines="60" w:after="144"/>
              <w:rPr>
                <w:rFonts w:ascii="Arial" w:hAnsi="Arial" w:cs="Arial"/>
                <w:b/>
                <w:sz w:val="20"/>
                <w:szCs w:val="20"/>
              </w:rPr>
            </w:pPr>
          </w:p>
          <w:p w14:paraId="15013A5B" w14:textId="6B286D7A" w:rsidR="008D01CA" w:rsidRDefault="008D01CA" w:rsidP="009E63C1">
            <w:pPr>
              <w:spacing w:beforeLines="60" w:before="144" w:afterLines="60" w:after="144"/>
              <w:rPr>
                <w:rFonts w:ascii="Arial" w:hAnsi="Arial" w:cs="Arial"/>
                <w:b/>
                <w:sz w:val="20"/>
                <w:szCs w:val="20"/>
              </w:rPr>
            </w:pPr>
          </w:p>
          <w:p w14:paraId="08FCD8E9" w14:textId="671A1239" w:rsidR="008D01CA" w:rsidRDefault="008D01CA" w:rsidP="009E63C1">
            <w:pPr>
              <w:spacing w:beforeLines="60" w:before="144" w:afterLines="60" w:after="144"/>
              <w:rPr>
                <w:rFonts w:ascii="Arial" w:hAnsi="Arial" w:cs="Arial"/>
                <w:b/>
                <w:sz w:val="20"/>
                <w:szCs w:val="20"/>
              </w:rPr>
            </w:pPr>
          </w:p>
          <w:p w14:paraId="6E39FBA8" w14:textId="41784BE6" w:rsidR="008D01CA" w:rsidRDefault="008D01CA" w:rsidP="009E63C1">
            <w:pPr>
              <w:spacing w:beforeLines="60" w:before="144" w:afterLines="60" w:after="144"/>
              <w:rPr>
                <w:rFonts w:ascii="Arial" w:hAnsi="Arial" w:cs="Arial"/>
                <w:b/>
                <w:sz w:val="20"/>
                <w:szCs w:val="20"/>
              </w:rPr>
            </w:pPr>
          </w:p>
          <w:p w14:paraId="3F0497BD" w14:textId="2E3DF7B1" w:rsidR="008D01CA" w:rsidRDefault="008D01CA" w:rsidP="009E63C1">
            <w:pPr>
              <w:spacing w:beforeLines="60" w:before="144" w:afterLines="60" w:after="144"/>
              <w:rPr>
                <w:rFonts w:ascii="Arial" w:hAnsi="Arial" w:cs="Arial"/>
                <w:b/>
                <w:sz w:val="20"/>
                <w:szCs w:val="20"/>
              </w:rPr>
            </w:pPr>
          </w:p>
          <w:p w14:paraId="1A540676" w14:textId="2488A972" w:rsidR="008D01CA" w:rsidRDefault="008D01CA" w:rsidP="009E63C1">
            <w:pPr>
              <w:spacing w:beforeLines="60" w:before="144" w:afterLines="60" w:after="144"/>
              <w:rPr>
                <w:rFonts w:ascii="Arial" w:hAnsi="Arial" w:cs="Arial"/>
                <w:b/>
                <w:sz w:val="20"/>
                <w:szCs w:val="20"/>
              </w:rPr>
            </w:pPr>
          </w:p>
          <w:p w14:paraId="29D94651" w14:textId="0F6B6B58" w:rsidR="008D01CA" w:rsidRDefault="008D01CA" w:rsidP="009E63C1">
            <w:pPr>
              <w:spacing w:beforeLines="60" w:before="144" w:afterLines="60" w:after="144"/>
              <w:rPr>
                <w:rFonts w:ascii="Arial" w:hAnsi="Arial" w:cs="Arial"/>
                <w:b/>
                <w:sz w:val="20"/>
                <w:szCs w:val="20"/>
              </w:rPr>
            </w:pPr>
          </w:p>
          <w:p w14:paraId="2701C13F" w14:textId="095F6329" w:rsidR="008D01CA" w:rsidRDefault="008D01CA" w:rsidP="009E63C1">
            <w:pPr>
              <w:spacing w:beforeLines="60" w:before="144" w:afterLines="60" w:after="144"/>
              <w:rPr>
                <w:rFonts w:ascii="Arial" w:hAnsi="Arial" w:cs="Arial"/>
                <w:b/>
                <w:sz w:val="20"/>
                <w:szCs w:val="20"/>
              </w:rPr>
            </w:pPr>
          </w:p>
          <w:p w14:paraId="2B6BC422" w14:textId="60501495" w:rsidR="008D01CA" w:rsidRDefault="008D01CA" w:rsidP="009E63C1">
            <w:pPr>
              <w:spacing w:beforeLines="60" w:before="144" w:afterLines="60" w:after="144"/>
              <w:rPr>
                <w:rFonts w:ascii="Arial" w:hAnsi="Arial" w:cs="Arial"/>
                <w:b/>
                <w:sz w:val="20"/>
                <w:szCs w:val="20"/>
              </w:rPr>
            </w:pPr>
          </w:p>
          <w:p w14:paraId="7B3275DC" w14:textId="59E0820A" w:rsidR="008D01CA" w:rsidRDefault="008D01CA" w:rsidP="009E63C1">
            <w:pPr>
              <w:spacing w:beforeLines="60" w:before="144" w:afterLines="60" w:after="144"/>
              <w:rPr>
                <w:rFonts w:ascii="Arial" w:hAnsi="Arial" w:cs="Arial"/>
                <w:b/>
                <w:sz w:val="20"/>
                <w:szCs w:val="20"/>
              </w:rPr>
            </w:pPr>
          </w:p>
          <w:p w14:paraId="14E9A30F" w14:textId="62213FBA" w:rsidR="008D01CA" w:rsidRDefault="008D01CA" w:rsidP="009E63C1">
            <w:pPr>
              <w:spacing w:beforeLines="60" w:before="144" w:afterLines="60" w:after="144"/>
              <w:rPr>
                <w:rFonts w:ascii="Arial" w:hAnsi="Arial" w:cs="Arial"/>
                <w:b/>
                <w:sz w:val="20"/>
                <w:szCs w:val="20"/>
              </w:rPr>
            </w:pPr>
          </w:p>
          <w:p w14:paraId="3096B523" w14:textId="20AFCF24" w:rsidR="008D01CA" w:rsidRDefault="008D01CA" w:rsidP="009E63C1">
            <w:pPr>
              <w:spacing w:beforeLines="60" w:before="144" w:afterLines="60" w:after="144"/>
              <w:rPr>
                <w:rFonts w:ascii="Arial" w:hAnsi="Arial" w:cs="Arial"/>
                <w:b/>
                <w:sz w:val="20"/>
                <w:szCs w:val="20"/>
              </w:rPr>
            </w:pPr>
          </w:p>
          <w:p w14:paraId="13AA603D" w14:textId="0A3AB491" w:rsidR="008D01CA" w:rsidRDefault="008D01CA" w:rsidP="009E63C1">
            <w:pPr>
              <w:spacing w:beforeLines="60" w:before="144" w:afterLines="60" w:after="144"/>
              <w:rPr>
                <w:rFonts w:ascii="Arial" w:hAnsi="Arial" w:cs="Arial"/>
                <w:b/>
                <w:sz w:val="20"/>
                <w:szCs w:val="20"/>
              </w:rPr>
            </w:pPr>
          </w:p>
          <w:p w14:paraId="092DDF31" w14:textId="3FD81D56" w:rsidR="008D01CA" w:rsidRDefault="008D01CA" w:rsidP="009E63C1">
            <w:pPr>
              <w:spacing w:beforeLines="60" w:before="144" w:afterLines="60" w:after="144"/>
              <w:rPr>
                <w:rFonts w:ascii="Arial" w:hAnsi="Arial" w:cs="Arial"/>
                <w:b/>
                <w:sz w:val="20"/>
                <w:szCs w:val="20"/>
              </w:rPr>
            </w:pPr>
          </w:p>
          <w:p w14:paraId="60EA5178" w14:textId="184451A5" w:rsidR="008D01CA" w:rsidRDefault="008D01CA" w:rsidP="009E63C1">
            <w:pPr>
              <w:spacing w:beforeLines="60" w:before="144" w:afterLines="60" w:after="144"/>
              <w:rPr>
                <w:rFonts w:ascii="Arial" w:hAnsi="Arial" w:cs="Arial"/>
                <w:b/>
                <w:sz w:val="20"/>
                <w:szCs w:val="20"/>
              </w:rPr>
            </w:pPr>
          </w:p>
          <w:p w14:paraId="0FFCF3BF" w14:textId="761FA0D4" w:rsidR="008D01CA" w:rsidRDefault="008D01CA" w:rsidP="009E63C1">
            <w:pPr>
              <w:spacing w:beforeLines="60" w:before="144" w:afterLines="60" w:after="144"/>
              <w:rPr>
                <w:rFonts w:ascii="Arial" w:hAnsi="Arial" w:cs="Arial"/>
                <w:b/>
                <w:sz w:val="20"/>
                <w:szCs w:val="20"/>
              </w:rPr>
            </w:pPr>
          </w:p>
          <w:p w14:paraId="3669D8EE" w14:textId="77777777" w:rsidR="008D01CA" w:rsidRDefault="008D01CA" w:rsidP="009E63C1">
            <w:pPr>
              <w:spacing w:beforeLines="60" w:before="144" w:afterLines="60" w:after="144"/>
              <w:rPr>
                <w:rFonts w:ascii="Arial" w:hAnsi="Arial" w:cs="Arial"/>
                <w:b/>
                <w:sz w:val="20"/>
                <w:szCs w:val="20"/>
              </w:rPr>
            </w:pPr>
          </w:p>
          <w:p w14:paraId="536F194F" w14:textId="6F44511A" w:rsidR="00386D73" w:rsidRPr="00950A0B" w:rsidRDefault="008D01CA"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Urinalschamwand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01AC5F98" w14:textId="77777777" w:rsidR="00F241A0" w:rsidRDefault="00F241A0" w:rsidP="009E63C1">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p w14:paraId="2BCC07EE" w14:textId="77777777" w:rsidR="00386D73" w:rsidRDefault="00386D73" w:rsidP="009E63C1">
            <w:pPr>
              <w:tabs>
                <w:tab w:val="right" w:pos="6096"/>
              </w:tabs>
              <w:spacing w:beforeLines="60" w:before="144" w:afterLines="60" w:after="144"/>
              <w:rPr>
                <w:rFonts w:ascii="Arial" w:hAnsi="Arial" w:cs="Arial"/>
                <w:sz w:val="20"/>
                <w:szCs w:val="20"/>
              </w:rPr>
            </w:pPr>
          </w:p>
          <w:p w14:paraId="6AB5C546" w14:textId="77777777" w:rsidR="00386D73" w:rsidRDefault="00386D73" w:rsidP="009E63C1">
            <w:pPr>
              <w:tabs>
                <w:tab w:val="right" w:pos="6096"/>
              </w:tabs>
              <w:spacing w:beforeLines="60" w:before="144" w:afterLines="60" w:after="144"/>
              <w:rPr>
                <w:rFonts w:ascii="Arial" w:hAnsi="Arial" w:cs="Arial"/>
                <w:sz w:val="20"/>
                <w:szCs w:val="20"/>
              </w:rPr>
            </w:pPr>
          </w:p>
          <w:p w14:paraId="642ADC9E" w14:textId="77777777" w:rsidR="00386D73" w:rsidRDefault="00386D73" w:rsidP="009E63C1">
            <w:pPr>
              <w:tabs>
                <w:tab w:val="right" w:pos="6096"/>
              </w:tabs>
              <w:spacing w:beforeLines="60" w:before="144" w:afterLines="60" w:after="144"/>
              <w:rPr>
                <w:rFonts w:ascii="Arial" w:hAnsi="Arial" w:cs="Arial"/>
                <w:sz w:val="20"/>
                <w:szCs w:val="20"/>
              </w:rPr>
            </w:pPr>
          </w:p>
          <w:p w14:paraId="5579EEA9" w14:textId="77777777" w:rsidR="00386D73" w:rsidRDefault="00386D73" w:rsidP="009E63C1">
            <w:pPr>
              <w:tabs>
                <w:tab w:val="right" w:pos="6096"/>
              </w:tabs>
              <w:spacing w:beforeLines="60" w:before="144" w:afterLines="60" w:after="144"/>
              <w:rPr>
                <w:rFonts w:ascii="Arial" w:hAnsi="Arial" w:cs="Arial"/>
                <w:sz w:val="20"/>
                <w:szCs w:val="20"/>
              </w:rPr>
            </w:pPr>
          </w:p>
          <w:p w14:paraId="59BFFC2E" w14:textId="77777777" w:rsidR="00386D73" w:rsidRDefault="00386D73" w:rsidP="009E63C1">
            <w:pPr>
              <w:tabs>
                <w:tab w:val="right" w:pos="6096"/>
              </w:tabs>
              <w:spacing w:beforeLines="60" w:before="144" w:afterLines="60" w:after="144"/>
              <w:rPr>
                <w:rFonts w:ascii="Arial" w:hAnsi="Arial" w:cs="Arial"/>
                <w:sz w:val="20"/>
                <w:szCs w:val="20"/>
              </w:rPr>
            </w:pPr>
          </w:p>
          <w:p w14:paraId="177EBE14" w14:textId="77777777" w:rsidR="00386D73" w:rsidRDefault="00386D73" w:rsidP="009E63C1">
            <w:pPr>
              <w:tabs>
                <w:tab w:val="right" w:pos="6096"/>
              </w:tabs>
              <w:spacing w:beforeLines="60" w:before="144" w:afterLines="60" w:after="144"/>
              <w:rPr>
                <w:rFonts w:ascii="Arial" w:hAnsi="Arial" w:cs="Arial"/>
                <w:sz w:val="20"/>
                <w:szCs w:val="20"/>
              </w:rPr>
            </w:pPr>
          </w:p>
          <w:p w14:paraId="64B6CE09" w14:textId="026E2BB1" w:rsidR="00386D73" w:rsidRPr="00F241A0" w:rsidRDefault="00386D73" w:rsidP="009E63C1">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6741E"/>
    <w:rsid w:val="00386D73"/>
    <w:rsid w:val="003E0B23"/>
    <w:rsid w:val="00483370"/>
    <w:rsid w:val="005979F5"/>
    <w:rsid w:val="007B0F47"/>
    <w:rsid w:val="008D01CA"/>
    <w:rsid w:val="00950A0B"/>
    <w:rsid w:val="009E63C1"/>
    <w:rsid w:val="00A24CF3"/>
    <w:rsid w:val="00A65B78"/>
    <w:rsid w:val="00B32109"/>
    <w:rsid w:val="00BD64CE"/>
    <w:rsid w:val="00BE1526"/>
    <w:rsid w:val="00BF0349"/>
    <w:rsid w:val="00C02A75"/>
    <w:rsid w:val="00C6673E"/>
    <w:rsid w:val="00DF4FAC"/>
    <w:rsid w:val="00E32CAF"/>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3">
    <w:name w:val="Textkörper 23"/>
    <w:basedOn w:val="Standard"/>
    <w:rsid w:val="00E32CAF"/>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479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7661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2</cp:revision>
  <dcterms:created xsi:type="dcterms:W3CDTF">2020-11-06T07:09:00Z</dcterms:created>
  <dcterms:modified xsi:type="dcterms:W3CDTF">2020-11-06T07:09:00Z</dcterms:modified>
</cp:coreProperties>
</file>